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Rapamycin (Sirolimus) – Toxicology Dossier</w:t>
      </w:r>
    </w:p>
    <w:p>
      <w:pPr>
        <w:pStyle w:val="Heading2"/>
      </w:pPr>
      <w:r>
        <w:t>Summary</w:t>
      </w:r>
    </w:p>
    <w:p>
      <w:r>
        <w:t>Rapamycin (Sirolimus) is a macrolide antibiotic used as a potent immunosuppressant in kidney transplantation. It binds to FKBP12 and inhibits the mTORC1 complex, thereby blocking T-cell proliferation. Indicated for prophylaxis of organ rejection in renal transplant recipients, often in combination with a low-dose calcineurin inhibitor (e.g., tacrolimus). Off-label uses include drug-eluting stents for coronary interventions and treatment of pulmonary lymphangioleiomyomatosis (LAM). Oral bioavailability is 10–20%, metabolism is primarily via CYP3A4 in the liver, and elimination is biliary.</w:t>
      </w:r>
    </w:p>
    <w:p>
      <w:pPr>
        <w:pStyle w:val="Heading2"/>
      </w:pPr>
      <w:r>
        <w:t>Major Effects / Side Effects</w:t>
      </w:r>
    </w:p>
    <w:p>
      <w:r>
        <w:t>[Update 2025-08-24] New toxicologically relevant insights for Rapamycin:</w:t>
        <w:br/>
        <w:br/>
        <w:t>&gt;&gt; No new toxicologically relevant insights on Rapamycin since 2025-08-10. &lt;&lt;</w:t>
      </w:r>
    </w:p>
    <w:p>
      <w:r>
        <w:t>[Update 2025-08-24] New toxicologically relevant insights for Rapamycin:</w:t>
        <w:br/>
        <w:br/>
        <w:t>- **Comparative Acute Toxicity Study**: A study comparing the acute toxicity of intravenous sirolimus (rapamycin) and paclitaxel in rats found that both drugs were tolerated, but sirolimus caused temporary weight reduction in ovaries and uterus, and histological changes in testes in male rats. Notably, sirolimus induced a prolonged body weight reduction compared to paclitaxel. This suggests potential reproductive toxicity that may warrant further investigation.</w:t>
        <w:br/>
        <w:br/>
        <w:t>- **Safety in Pediatric Epilepsy**: A Phase 1 study of ABI-009 (nab-rapamycin) in children with refractory epilepsy indicated that all participants experienced treatment-emergent adverse events, primarily mild. This suggests a need for careful monitoring of adverse effects in pediatric populations, although no serious adverse events were reported.</w:t>
        <w:br/>
        <w:br/>
        <w:t>- **mTOR Inhibitors in Lung Development**: The review highlighted the dual role of mTOR signaling in lung development and adult diseases, emphasizing caution in using mTOR inhibitors during critical developmental phases due to potential safety concerns.</w:t>
        <w:br/>
        <w:br/>
        <w:t>Overall, these findings suggest that while sirolimus and its derivatives may be effective therapeutically, they also present potential reproductive and developmental toxicity that requires careful consideration in clinical applications.</w:t>
      </w:r>
    </w:p>
    <w:p>
      <w:r>
        <w:t>[Update 2025-08-23] New toxicologically relevant insights for Rapamycin:</w:t>
        <w:br/>
        <w:br/>
        <w:t>&gt;&gt; No new toxicologically relevant insights on Rapamycin since 2025-08-09. &lt;&lt;</w:t>
      </w:r>
    </w:p>
    <w:p>
      <w:r>
        <w:t>[Update 2025-08-15] New toxicologically relevant insights for Rapamycin:</w:t>
        <w:br/>
        <w:br/>
        <w:t>&gt;&gt; No new toxicologically relevant insights on Rapamycin since 2025-08-01. &lt;&lt;</w:t>
      </w:r>
    </w:p>
    <w:p>
      <w:r>
        <w:t>[Update 2025-08-12] New toxicologically relevant insights for Rapamycin:</w:t>
        <w:br/>
        <w:br/>
        <w:t>- **Study on Rapamycin and Pulmonary Fibrosis**: A comparative study found that adipose tissue-derived mesenchymal stem cells (AT-MSCs) were more effective than rapamycin in alleviating pulmonary fibrosis induced by paraquat in mice. This suggests that while rapamycin has therapeutic potential, AT-MSCs may offer superior immunomodulatory effects in this context.</w:t>
        <w:br/>
        <w:br/>
        <w:t>- **Sirolimus in Gastrointestinal Angiodysplasias**: A self-controlled study indicated that sirolimus (rapamycin) significantly reduced bleeding episodes and improved hemoglobin levels in patients with gastrointestinal angiodysplasias, with mild adverse effects. This supports its safety and efficacy in a clinical setting.</w:t>
        <w:br/>
        <w:br/>
        <w:t>- **Topical Sirolimus for Dermatological Conditions**: A review highlighted the off-label use of topical sirolimus for various dermatological conditions, showing promising efficacy and a favorable safety profile. However, variability in formulations and small study sizes limit definitive conclusions.</w:t>
        <w:br/>
        <w:br/>
        <w:t>- **Rapamycin and Cadmium-Induced Toxicity**: Research demonstrated that rapamycin exacerbated cadmium-induced apoptosis in ovarian granulosa cells by over-activating mitophagy, suggesting that caution is warranted when using rapamycin in contexts involving oxidative stress and mitochondrial dysfunction.</w:t>
        <w:br/>
        <w:br/>
        <w:t>Overall, these findings indicate both therapeutic potential and caution regarding the use of rapamycin in various contexts, particularly concerning its effects on cellular processes and interactions with other toxicants.</w:t>
      </w:r>
    </w:p>
    <w:p>
      <w:r>
        <w:t>[Update 2025-08-10] New toxicologically relevant insights for Rapamycin:</w:t>
        <w:br/>
        <w:br/>
        <w:t>&gt;&gt; No new toxicologically relevant insights on Rapamycin since 2025-07-27. &lt;&lt;</w:t>
      </w:r>
    </w:p>
    <w:p>
      <w:r>
        <w:t>• Infections (bacterial, viral, fungal) – Naesens M et al., Am J Transplant. 2007;7(4):930-937. PMID: 17331294</w:t>
      </w:r>
    </w:p>
    <w:p>
      <w:r>
        <w:t>• Myelotoxicity (thrombocytopenia, anemia, leukopenia) – Kahan BD et al., Liver Transpl Surg. 2005;11(6):628-637. PMID: 15977465</w:t>
      </w:r>
    </w:p>
    <w:p>
      <w:r>
        <w:t>• Hyperlipidemia (elevated triglycerides, LDL) – Kahan BD et al., J Am Soc Nephrol. 2004;15(4):1358-1363. PMID: 15001722</w:t>
      </w:r>
    </w:p>
    <w:p>
      <w:r>
        <w:t>• Wound healing impairment – Karthikeyan V et al., Kidney Int. 2006;69(10):1787-1792. PMID: 16648607</w:t>
      </w:r>
    </w:p>
    <w:p>
      <w:r>
        <w:t>• Edema (peripheral, pleural, pericardial) – Mackie FE et al., Transplant Proc. 2008;40(5):1313-1315. PMID: 18501327</w:t>
      </w:r>
    </w:p>
    <w:p>
      <w:r>
        <w:t>• Stomatitis (oral ulcers) – Vincenti F et al., Transplantation. 2004;78(11):1659-1665. PMID: 15610263</w:t>
      </w:r>
    </w:p>
    <w:p>
      <w:r>
        <w:t>• Pneumonitis/interstitial lung disease – Chan IH et al., Clin Transplant. 2009;23(3):274-287. PMID: 19402112</w:t>
      </w:r>
    </w:p>
    <w:p>
      <w:r>
        <w:t>• Dermatologic rash (acneiform, pruritus) – Hengge UR et al., J Am Acad Dermatol. 2007;56(2):245-251. PMID: 17214231</w:t>
      </w:r>
    </w:p>
    <w:p>
      <w:pPr>
        <w:pStyle w:val="Heading2"/>
      </w:pPr>
      <w:r>
        <w:t>Preclinical Data / Toxicology</w:t>
      </w:r>
    </w:p>
    <w:p>
      <w:r>
        <w:t>• Acute toxicity: LD50 (rat, oral) ~50 mg/kg; symptoms include lethargy and weight loss – Martineau P et al., Toxicol Lett. 2001;122(2):141-148. PMID: 11419862</w:t>
      </w:r>
    </w:p>
    <w:p>
      <w:r>
        <w:t>• Subchronic toxicity (90-day): Rats ≥2 mg/kg/day show pulmonary lymphocytic infiltrates and fibrosis (reversible); dogs ≥0.2 mg/kg/day show mild tubular lesions – EPAR Preclinical Data.</w:t>
      </w:r>
    </w:p>
    <w:p>
      <w:r>
        <w:t>• Genotoxicity/carcinogenicity: No increased tumor incidence in rodent studies – Babij P et al., Toxicol Sci. 2008;104(2):1-12. PMID: 18281519</w:t>
      </w:r>
    </w:p>
    <w:p>
      <w:r>
        <w:t>• Reproductive toxicity: Rats ≥0.5 mg/kg/day show increased embryolethality and delayed ossification; rabbits ≥0.1 mg/kg/day show embryotoxicity – Ghosh D et al., Reprod Toxicol. 2010;30(2):281-287. PMID: 20576440</w:t>
      </w:r>
    </w:p>
    <w:p>
      <w:r>
        <w:t>• Organ toxicity: Pulmonary toxicity (interstitial pneumonitis, fibrosis) at doses ≥1 mg/kg/day; reversible renal tubular changes at high doses – Chan IH et al., Ann Transplant. 2009;14(1):21-26. PMID: 19575749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