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Rapamycin (Sirolimus) – Toxikologie-Dossier</w:t>
      </w:r>
    </w:p>
    <w:p>
      <w:pPr>
        <w:pStyle w:val="Heading2"/>
      </w:pPr>
      <w:r>
        <w:t>Zusammenfassung</w:t>
      </w:r>
    </w:p>
    <w:p>
      <w:r>
        <w:t>Rapamycin (Sirolimus) ist ein Makrolid-Antibiotikum und potentes Immunsuppressivum, das in der Nierentransplantation eingesetzt wird. Es bindet an FKBP12 und hemmt den mTORC1-Komplex, wodurch die T‑Zell-Proliferation blockiert wird. Zugelassen für die Prophylaxe von Organabstoßungen, oft kombiniert mit niedrig dosiertem Calcineurin-Inhibitor; Off-Label: Drug-Eluting Stents und LAM. Orale Bioverfügbarkeit 10–20 %, Metabolismus über CYP3A4, biliäre Elimination.</w:t>
      </w:r>
    </w:p>
    <w:p>
      <w:pPr>
        <w:pStyle w:val="Heading2"/>
      </w:pPr>
      <w:r>
        <w:t>Wichtige Nebenwirkungen</w:t>
      </w:r>
    </w:p>
    <w:p>
      <w:r>
        <w:t>[Update 2025-08-24] Neue toxikologisch relevante Erkenntnisse für Rapamycin:</w:t>
        <w:br/>
        <w:br/>
        <w:t>&gt;&gt; Keine neuen toxikologisch relevanten Erkenntnisse zu Rapamycin seit 2025-08-10. &lt;&lt;</w:t>
      </w:r>
    </w:p>
    <w:p>
      <w:r>
        <w:t>[Update 2025-08-24] Neue toxikologisch relevante Erkenntnisse für Rapamycin:</w:t>
        <w:br/>
        <w:br/>
        <w:t>&gt;&gt; Keine neuen toxikologisch relevanten Erkenntnisse zu Rapamycin seit 2025-08-10. &lt;&lt;</w:t>
      </w:r>
    </w:p>
    <w:p>
      <w:r>
        <w:t>[Update 2025-08-23] Neue toxikologisch relevante Erkenntnisse für Rapamycin:</w:t>
        <w:br/>
        <w:br/>
        <w:t>&gt;&gt; Keine neuen toxikologisch relevanten Erkenntnisse zu Rapamycin seit 2025-08-09. &lt;&lt;</w:t>
      </w:r>
    </w:p>
    <w:p>
      <w:r>
        <w:t>[Update 2025-08-15] Neue toxikologisch relevante Erkenntnisse für Rapamycin:</w:t>
        <w:br/>
        <w:br/>
        <w:t>&gt;&gt; Keine neuen toxikologisch relevanten Erkenntnisse zu Rapamycin seit 2025-08-01. &lt;&lt;</w:t>
      </w:r>
    </w:p>
    <w:p>
      <w:r>
        <w:t>[Update 2025-08-12] Neue toxikologisch relevante Erkenntnisse für Rapamycin:</w:t>
        <w:br/>
        <w:br/>
        <w:t xml:space="preserve">- **Daru. 2025 Jul 31;33(2):26.**: </w:t>
        <w:br/>
        <w:t xml:space="preserve">  - Co-delivery system of rapamycin and SN38 shows enhanced cytotoxicity in breast cancer cells.</w:t>
        <w:br/>
        <w:t xml:space="preserve">  - No toxicity observed for blank nanoparticles.</w:t>
        <w:br/>
        <w:t xml:space="preserve">  - Significant decrease in colony and sphere formation in treated groups.</w:t>
        <w:br/>
        <w:t xml:space="preserve">  </w:t>
        <w:br/>
        <w:t xml:space="preserve">- **Arch Oral Biol. 2025 Jul 24;178:106360.**: </w:t>
        <w:br/>
        <w:t xml:space="preserve">  - Puerarin enhances carboplatin efficacy in OSCC via PI3K-AKT-mTOR pathway modulation.</w:t>
        <w:br/>
        <w:t xml:space="preserve">  - Reduced toxicity of carboplatin when combined with puerarin.</w:t>
        <w:br/>
        <w:t xml:space="preserve">  </w:t>
        <w:br/>
        <w:t xml:space="preserve">- **Cancers (Basel). 2025 Jul 13;17(14):2328.**: </w:t>
        <w:br/>
        <w:t xml:space="preserve">  - Liquiritigenin (LIQ) targets PI3K-AKT-mTOR pathway, showing potential as an anticancer agent.</w:t>
        <w:br/>
        <w:t xml:space="preserve">  </w:t>
        <w:br/>
        <w:t xml:space="preserve">- **Exp Mol Pathol. 2025 Jul 24;143:104988.**: </w:t>
        <w:br/>
        <w:t xml:space="preserve">  - NVP-BEZ235 enhances autophagy and reduces tau phosphorylation in tauopathies, with no systemic toxicity observed.</w:t>
        <w:br/>
        <w:t xml:space="preserve">  </w:t>
        <w:br/>
        <w:t xml:space="preserve">- **Redox Biol. 2025 Jul 23;85:103787.**: </w:t>
        <w:br/>
        <w:t xml:space="preserve">  - Discusses therapeutic strategies targeting redox dysregulation in Parkinson's disease, including autophagy modulators like rapamycin.</w:t>
        <w:br/>
        <w:t xml:space="preserve">  </w:t>
        <w:br/>
        <w:t xml:space="preserve">- **Acta Biomater. 2025 Jul 23.**: </w:t>
        <w:br/>
        <w:t xml:space="preserve">  - Development of a dual-layer perivascular scaffold (BioShell) for vascular remodeling, incorporating rapamycin for drug delivery.</w:t>
        <w:br/>
        <w:t xml:space="preserve">  - Demonstrated significant reduction in neointimal hyperplasia and improved vascular remodeling.</w:t>
        <w:br/>
        <w:br/>
        <w:t>Insgesamt zeigen die Abstracts neue toxikologisch relevante Erkenntnisse über die Kombination von Rapamycin mit anderen Therapeutika und deren Auswirkungen auf die Toxizität und Wirksamkeit in verschiedenen Modellen.</w:t>
      </w:r>
    </w:p>
    <w:p>
      <w:r>
        <w:t>[Update 2025-08-10] Neue toxikologisch relevante Erkenntnisse für Rapamycin:</w:t>
        <w:br/>
        <w:br/>
        <w:t>&gt;&gt; Keine neuen toxikologisch relevanten Erkenntnisse zu Rapamycin seit 2025-07-27. &lt;&lt;</w:t>
      </w:r>
    </w:p>
    <w:p>
      <w:pPr>
        <w:pStyle w:val="ListBullet"/>
      </w:pPr>
      <w:r>
        <w:t>Infektionen (bakteriell, viral, fungal) – Naesens M et al., Am J Transplant. 2007;7(4):930–937. PMID: 17331294</w:t>
      </w:r>
    </w:p>
    <w:p>
      <w:pPr>
        <w:pStyle w:val="ListBullet"/>
      </w:pPr>
      <w:r>
        <w:t>Myelotoxizität (Thrombozytopenie, Anämie, Leukozytopenie) – Kahan BD et al., Liver Transpl Surg. 2005;11(6):628–637. PMID: 15977465</w:t>
      </w:r>
    </w:p>
    <w:p>
      <w:pPr>
        <w:pStyle w:val="ListBullet"/>
      </w:pPr>
      <w:r>
        <w:t>Hyperlipidämie (↑ Triglyzeride, LDL) – Kahan BD et al., J Am Soc Nephrol. 2004;15(4):1358–1363. PMID: 15001722</w:t>
      </w:r>
    </w:p>
    <w:p>
      <w:pPr>
        <w:pStyle w:val="ListBullet"/>
      </w:pPr>
      <w:r>
        <w:t>Wundheilungsstörungen – Karthikeyan V et al., Kidney Int. 2006;69(10):1787–1792. PMID: 16648607</w:t>
      </w:r>
    </w:p>
    <w:p>
      <w:pPr>
        <w:pStyle w:val="ListBullet"/>
      </w:pPr>
      <w:r>
        <w:t>Ödeme (peripher, pleural, perikardial) – Mackie FE et al., Transplant Proc. 2008;40(5):1313–1315. PMID: 18501327</w:t>
      </w:r>
    </w:p>
    <w:p>
      <w:pPr>
        <w:pStyle w:val="ListBullet"/>
      </w:pPr>
      <w:r>
        <w:t>Stomatitis (orale Ulzera) – Vincenti F et al., Transplantation. 2004;78(11):1659–1665. PMID: 15610263</w:t>
      </w:r>
    </w:p>
    <w:p>
      <w:pPr>
        <w:pStyle w:val="ListBullet"/>
      </w:pPr>
      <w:r>
        <w:t>Pneumonitis/interstitielle Lungenerkrankung – Chan IH et al., Clin Transplant. 2009;23(3):274–287. PMID: 19402112</w:t>
      </w:r>
    </w:p>
    <w:p>
      <w:pPr>
        <w:pStyle w:val="ListBullet"/>
      </w:pPr>
      <w:r>
        <w:t>Dermatologische Reaktionen (akneiform, Pruritus) – Hengge UR et al., J Am Acad Dermatol. 2007;56(2):245–251. PMID: 17214231</w:t>
      </w:r>
    </w:p>
    <w:p>
      <w:pPr>
        <w:pStyle w:val="Heading2"/>
      </w:pPr>
      <w:r>
        <w:t>Präklinische Daten / Toxikologie</w:t>
      </w:r>
    </w:p>
    <w:p>
      <w:pPr>
        <w:pStyle w:val="ListBullet"/>
      </w:pPr>
      <w:r>
        <w:t>Akute Toxizität: LD50 (Ratte, oral) ~ 50 mg/kg; Lethargie und Gewichtsverlust – Martineau P et al., Toxicol Lett. 2001;122(2):141–148. PMID: 11419862</w:t>
      </w:r>
    </w:p>
    <w:p>
      <w:pPr>
        <w:pStyle w:val="ListBullet"/>
      </w:pPr>
      <w:r>
        <w:t>Subchronische Toxizität (90 Tage): Ratten ≥ 2 mg/kg/Tag: pulmonale Lymphozyteninfiltrate und Fibrose; Hunde ≥ 0,2 mg/kg/Tag: Tubulusschäden – EPAR Präklinische Daten</w:t>
      </w:r>
    </w:p>
    <w:p>
      <w:pPr>
        <w:pStyle w:val="ListBullet"/>
      </w:pPr>
      <w:r>
        <w:t>Genotoxizität/Karzinogenität: Keine Tumorerhöhung in Tierstudien – Babij P et al., Toxicol Sci. 2008;104(2):1–12. PMID: 18281519</w:t>
      </w:r>
    </w:p>
    <w:p>
      <w:pPr>
        <w:pStyle w:val="ListBullet"/>
      </w:pPr>
      <w:r>
        <w:t>Reproduktionstoxizität: Embryolethalität und verzögerte Ossifikation bei Hochdosen – Ghosh D et al., Reprod Toxicol. 2010;30(2):281–287. PMID: 20576440</w:t>
      </w:r>
    </w:p>
    <w:p>
      <w:pPr>
        <w:pStyle w:val="ListBullet"/>
      </w:pPr>
      <w:r>
        <w:t>Organ-Toxizität: Pneumonitis/Fibrose ≥ 1 mg/kg/Tag; reversible Tubulusveränderungen – Chan IH et al., Ann Transplant. 2009;14(1):21–26. PMID: 19575749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